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1926719888"/>
        <w:docPartObj>
          <w:docPartGallery w:val="Cover Pages"/>
          <w:docPartUnique/>
        </w:docPartObj>
      </w:sdtPr>
      <w:sdtEndPr>
        <w:rPr>
          <w:rFonts w:eastAsiaTheme="minorEastAsia" w:cs="mohammad bold art"/>
          <w:sz w:val="72"/>
          <w:szCs w:val="72"/>
        </w:rPr>
      </w:sdtEndPr>
      <w:sdtContent>
        <w:p w14:paraId="45B62C52" w14:textId="77777777" w:rsidR="00E759BE" w:rsidRDefault="00E759BE" w:rsidP="00362191">
          <w:pPr>
            <w:bidi/>
          </w:pPr>
        </w:p>
        <w:p w14:paraId="78CF11FD" w14:textId="77777777" w:rsidR="00E759BE" w:rsidRDefault="00E759BE" w:rsidP="00362191">
          <w:pPr>
            <w:bidi/>
            <w:rPr>
              <w:rFonts w:eastAsiaTheme="minorEastAsia" w:cs="mohammad bold art"/>
              <w:sz w:val="72"/>
              <w:szCs w:val="7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4A338B" wp14:editId="02A84AB0">
                    <wp:simplePos x="0" y="0"/>
                    <wp:positionH relativeFrom="page">
                      <wp:posOffset>329609</wp:posOffset>
                    </wp:positionH>
                    <wp:positionV relativeFrom="page">
                      <wp:posOffset>2870791</wp:posOffset>
                    </wp:positionV>
                    <wp:extent cx="6525694" cy="2519916"/>
                    <wp:effectExtent l="0" t="0" r="8890" b="13970"/>
                    <wp:wrapSquare wrapText="bothSides"/>
                    <wp:docPr id="113" name="مربع ن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25694" cy="25199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656A91" w14:textId="77777777" w:rsidR="00E759BE" w:rsidRPr="00E16118" w:rsidRDefault="00E759BE" w:rsidP="00E759BE">
                                <w:pPr>
                                  <w:pStyle w:val="a0"/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E16118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  <w:t>دليل مؤشرات وإجراءات عمليات غسيل الأموال وتـــمــويل الإرهـاب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4A338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13" o:spid="_x0000_s1026" type="#_x0000_t202" style="position:absolute;left:0;text-align:left;margin-left:25.95pt;margin-top:226.05pt;width:513.85pt;height:19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" filled="f" stroked="f" strokeweight=".5pt">
                    <v:textbox inset="0,0,0,0">
                      <w:txbxContent>
                        <w:p w14:paraId="58656A91" w14:textId="77777777" w:rsidR="00E759BE" w:rsidRPr="00E16118" w:rsidRDefault="00E759BE" w:rsidP="00E759BE">
                          <w:pPr>
                            <w:pStyle w:val="a0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</w:pPr>
                          <w:r w:rsidRPr="00E16118"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  <w:t>دليل مؤشرات وإجراءات عمليات غسيل الأموال وتـــمــويل الإرهـاب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eastAsiaTheme="minorEastAsia" w:cs="mohammad bold art"/>
              <w:sz w:val="72"/>
              <w:szCs w:val="72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val="ar-SA"/>
        </w:rPr>
        <w:id w:val="-1336452207"/>
        <w:docPartObj>
          <w:docPartGallery w:val="Table of Contents"/>
          <w:docPartUnique/>
        </w:docPartObj>
      </w:sdtPr>
      <w:sdtEndPr>
        <w:rPr>
          <w:b w:val="0"/>
          <w:bCs w:val="0"/>
          <w:lang w:val="en-US"/>
        </w:rPr>
      </w:sdtEndPr>
      <w:sdtContent>
        <w:p w14:paraId="3AF20CB3" w14:textId="77777777" w:rsidR="00E759BE" w:rsidRDefault="00E759BE" w:rsidP="00362191">
          <w:pPr>
            <w:pStyle w:val="a8"/>
            <w:bidi/>
            <w:rPr>
              <w:rFonts w:cs="mohammad bold art"/>
              <w:color w:val="auto"/>
              <w:lang w:val="ar-SA"/>
            </w:rPr>
          </w:pPr>
        </w:p>
        <w:p w14:paraId="72DDF72E" w14:textId="77777777" w:rsidR="00E759BE" w:rsidRDefault="00E759BE" w:rsidP="00362191">
          <w:pPr>
            <w:pStyle w:val="a8"/>
            <w:bidi/>
            <w:rPr>
              <w:rFonts w:cs="mohammad bold art"/>
              <w:color w:val="auto"/>
              <w:lang w:val="ar-SA"/>
            </w:rPr>
          </w:pPr>
        </w:p>
        <w:p w14:paraId="48609CD7" w14:textId="77777777" w:rsidR="00E759BE" w:rsidRDefault="00E759BE" w:rsidP="00362191">
          <w:pPr>
            <w:pStyle w:val="a8"/>
            <w:bidi/>
            <w:rPr>
              <w:rFonts w:cs="mohammad bold art"/>
              <w:color w:val="auto"/>
              <w:lang w:val="ar-SA"/>
            </w:rPr>
          </w:pPr>
        </w:p>
        <w:p w14:paraId="3D6DCB22" w14:textId="77777777" w:rsidR="00E759BE" w:rsidRPr="00E16118" w:rsidRDefault="00E759BE" w:rsidP="00362191">
          <w:pPr>
            <w:pStyle w:val="a8"/>
            <w:bidi/>
            <w:rPr>
              <w:rFonts w:asciiTheme="minorBidi" w:hAnsiTheme="minorBidi" w:cstheme="minorBidi"/>
              <w:b w:val="0"/>
              <w:bCs w:val="0"/>
              <w:color w:val="auto"/>
              <w:sz w:val="40"/>
              <w:szCs w:val="40"/>
            </w:rPr>
          </w:pPr>
          <w:r w:rsidRPr="00E16118">
            <w:rPr>
              <w:rFonts w:asciiTheme="minorBidi" w:hAnsiTheme="minorBidi" w:cstheme="minorBidi"/>
              <w:color w:val="auto"/>
              <w:sz w:val="40"/>
              <w:szCs w:val="40"/>
              <w:lang w:val="ar-SA"/>
            </w:rPr>
            <w:t>المحتويات</w:t>
          </w:r>
        </w:p>
        <w:p w14:paraId="3816A7D3" w14:textId="77777777" w:rsidR="00E759BE" w:rsidRPr="00E16118" w:rsidRDefault="00E759BE" w:rsidP="00362191">
          <w:pPr>
            <w:pStyle w:val="10"/>
            <w:tabs>
              <w:tab w:val="right" w:leader="dot" w:pos="8868"/>
            </w:tabs>
            <w:bidi/>
            <w:rPr>
              <w:rFonts w:asciiTheme="minorBidi" w:hAnsiTheme="minorBidi"/>
              <w:b/>
              <w:bCs/>
              <w:noProof/>
              <w:sz w:val="36"/>
              <w:szCs w:val="36"/>
              <w:rtl/>
            </w:rPr>
          </w:pPr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begin"/>
          </w:r>
          <w:r w:rsidRPr="00E16118">
            <w:rPr>
              <w:rFonts w:asciiTheme="minorBidi" w:hAnsiTheme="minorBidi"/>
              <w:b/>
              <w:bCs/>
              <w:sz w:val="28"/>
              <w:szCs w:val="28"/>
              <w:rtl/>
              <w:lang w:val="ar-SA"/>
            </w:rPr>
            <w:instrText xml:space="preserve"> TOC \o "1-3" \h \z \u </w:instrText>
          </w:r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separate"/>
          </w:r>
          <w:hyperlink w:anchor="_Toc60231126" w:history="1"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مؤشرات قد تدل على عمليات غسل الأموال أو جرائم تمويل الإرهاب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</w:rPr>
              <w:t>:</w: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Toc60231126 \h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2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583126A3" w14:textId="77777777" w:rsidR="00E759BE" w:rsidRPr="00E16118" w:rsidRDefault="00E759BE" w:rsidP="00362191">
          <w:pPr>
            <w:pStyle w:val="10"/>
            <w:tabs>
              <w:tab w:val="right" w:leader="dot" w:pos="8868"/>
            </w:tabs>
            <w:bidi/>
            <w:rPr>
              <w:rFonts w:asciiTheme="minorBidi" w:hAnsiTheme="minorBidi"/>
              <w:b/>
              <w:bCs/>
              <w:noProof/>
              <w:sz w:val="36"/>
              <w:szCs w:val="36"/>
              <w:rtl/>
            </w:rPr>
          </w:pPr>
          <w:hyperlink w:anchor="_Toc60231127" w:history="1"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الإجراءات في حال وجود مؤشرات الاشتباه :</w: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Toc60231127 \h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3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70A42503" w14:textId="77777777" w:rsidR="00E759BE" w:rsidRPr="00E16118" w:rsidRDefault="00E759BE" w:rsidP="00362191">
          <w:pPr>
            <w:pStyle w:val="10"/>
            <w:tabs>
              <w:tab w:val="right" w:leader="dot" w:pos="8868"/>
            </w:tabs>
            <w:bidi/>
            <w:rPr>
              <w:rFonts w:asciiTheme="minorBidi" w:hAnsiTheme="minorBidi"/>
              <w:b/>
              <w:bCs/>
              <w:noProof/>
              <w:sz w:val="28"/>
              <w:szCs w:val="28"/>
              <w:rtl/>
            </w:rPr>
          </w:pPr>
          <w:hyperlink w:anchor="_Toc60231128" w:history="1"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نموذج الاشتباه</w: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Toc60231128 \h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4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642CD036" w14:textId="77777777" w:rsidR="00E759BE" w:rsidRDefault="00E759BE" w:rsidP="00362191">
          <w:pPr>
            <w:bidi/>
          </w:pPr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63C85A7" w14:textId="77777777" w:rsidR="00E759BE" w:rsidRDefault="00E759BE" w:rsidP="00362191">
      <w:pPr>
        <w:bidi/>
        <w:rPr>
          <w:rFonts w:ascii="Tahoma" w:eastAsia="Times New Roman" w:hAnsi="Tahoma" w:cs="AL-Mohanad Bold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AL-Mohanad Bold"/>
          <w:sz w:val="28"/>
          <w:szCs w:val="28"/>
          <w:bdr w:val="none" w:sz="0" w:space="0" w:color="auto" w:frame="1"/>
          <w:rtl/>
        </w:rPr>
        <w:br w:type="page"/>
      </w:r>
    </w:p>
    <w:p w14:paraId="7AE02FEE" w14:textId="77777777" w:rsidR="00E759BE" w:rsidRPr="00E16118" w:rsidRDefault="00E759BE" w:rsidP="00362191">
      <w:pPr>
        <w:pStyle w:val="1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bookmarkStart w:id="0" w:name="_Toc60231126"/>
      <w:r w:rsidRPr="00E16118">
        <w:rPr>
          <w:rFonts w:asciiTheme="minorBidi" w:hAnsiTheme="minorBidi" w:cstheme="minorBidi"/>
          <w:sz w:val="36"/>
          <w:szCs w:val="36"/>
          <w:rtl/>
        </w:rPr>
        <w:lastRenderedPageBreak/>
        <w:t>مؤشرات قد تدل على عمليات غسل الأموال أو جرائم تمويل الإرهاب</w:t>
      </w:r>
      <w:r w:rsidRPr="00E16118">
        <w:rPr>
          <w:rFonts w:asciiTheme="minorBidi" w:hAnsiTheme="minorBidi" w:cstheme="minorBidi"/>
          <w:sz w:val="36"/>
          <w:szCs w:val="36"/>
        </w:rPr>
        <w:t>:</w:t>
      </w:r>
      <w:bookmarkEnd w:id="0"/>
    </w:p>
    <w:p w14:paraId="059BBC9E" w14:textId="77777777" w:rsidR="00E759BE" w:rsidRPr="00E16118" w:rsidRDefault="00E759BE" w:rsidP="00362191">
      <w:pPr>
        <w:shd w:val="clear" w:color="auto" w:fill="FFFFFF"/>
        <w:bidi/>
        <w:spacing w:after="0" w:line="408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429FB651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إبداء العميل اهتماماً غير عادي بشأن الالتزام لمتطلبات مكافحة غسل الأموال أو جرائم تمويل الإرهاب، وبخاصة المتعلقة بهويته ونوع عمله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04220EC1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رفض العميل تقديم بيانات عنه أو توضيح مصدر أمواله وأصوله الأخرى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99CC6F9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رغبة العميل في المشاركة في صفقات غير واضحة من حيث غرضها القانوني أو الاقتصادي أو عدم انسجامها مع استراتيجية الاستثمار المعلنة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7E8A1585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محاولة العميل تزويد الجمعية بمعلومات غير صحيحة أو مضللة تتعلق بهويته و/أو مصدر أمواله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12689212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 xml:space="preserve">علم الجمعية بتورط العميل في أنشطة غسل </w:t>
      </w:r>
      <w:proofErr w:type="gramStart"/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أموال</w:t>
      </w:r>
      <w:proofErr w:type="gramEnd"/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 xml:space="preserve"> أو جرائم تمويل إرهاب، أو أي مخالفات جنائية أو تنظيمية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50B86EAA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إبداء العميل عدم الاهتمام بالمخاطر والعمولات أو أي مصاريف أخرى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E7A5D74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اشتباه الجمعية في أن العميل وكيل للعمل نيابة عن موكل مجهول، وتردده وامتناعه بدون أسباب منطقية، في إعطاء معلومات عن ذلك الشخص أو الجهة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76001FB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صعوبة تقديم العميل وصف لطبيعة عمله أو عدم معرفته بأنشطته بشكل عام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938E807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قيام العميل باستثمار طويل الأجل يتبعه بعد مدة وجيزة طلب تصفية الوضع الاستثماري وتحويل العائد من الحساب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72A3953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وجود اختلاف كبير بين أنشطة العميل والممارسات العادية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19E5E465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طلب العميل من الجمعية تحويل الأموال المستحقة له لطرف آخر ومحاولة عدم تزويد الجمعية بأي معلومات عن الجهة والمحول إليها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377B5DC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محاولة العميل تغيير صفقة أو إلغاءها بعد تبليغه بمتطلبات تدقيق المعلومات أو حفظ السجلات من الجمعية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288711E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طلب العميل إنهاء إجراءات صفقة يستخدم فيها أقل قدر ممكن من المستندات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07686E95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علم الجمعية أن الأموال أو الممتلكات إيراد من مصادر غير مشروعة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C670612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عدم تناسب قيمة أو تكرار التبرعات والعمليات مع المعلومات المتوفرة عن المشتبه به ونشاطه ودخله ونمط حياته وسلوكه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760C65E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انتماء العميل لمنظمة غير معروفة أو معروفة بنشاط محظور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6A6D838" w14:textId="77777777" w:rsidR="00E759BE" w:rsidRPr="00E16118" w:rsidRDefault="00E759BE" w:rsidP="00362191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bidi/>
        <w:spacing w:after="0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ظهور علامات البذخ والرفاهية على العميل وعائلته بشكل مبالغ فيه وبما لا يتناسب مع وضعه الاقتصادي (خاصة إذا كان بشكل مفاجئ)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09C1AE8B" w14:textId="007A56EE" w:rsidR="00E759BE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7065A959" w14:textId="071EA0B7" w:rsidR="00362191" w:rsidRDefault="00362191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3D08425B" w14:textId="15C6E9E1" w:rsidR="00362191" w:rsidRDefault="00362191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0B071008" w14:textId="3B11BC2B" w:rsidR="00362191" w:rsidRDefault="00362191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326C9224" w14:textId="77777777" w:rsidR="00362191" w:rsidRPr="00E16118" w:rsidRDefault="00362191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6651C7EF" w14:textId="77777777" w:rsidR="00E759BE" w:rsidRPr="00E16118" w:rsidRDefault="00E759BE" w:rsidP="00362191">
      <w:pPr>
        <w:pStyle w:val="1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bookmarkStart w:id="1" w:name="_Toc60231127"/>
      <w:r w:rsidRPr="00E16118">
        <w:rPr>
          <w:rFonts w:asciiTheme="minorBidi" w:hAnsiTheme="minorBidi" w:cstheme="minorBidi"/>
          <w:sz w:val="36"/>
          <w:szCs w:val="36"/>
          <w:rtl/>
        </w:rPr>
        <w:t xml:space="preserve">الإجراءات في حال وجود مؤشرات </w:t>
      </w:r>
      <w:proofErr w:type="gramStart"/>
      <w:r w:rsidRPr="00E16118">
        <w:rPr>
          <w:rFonts w:asciiTheme="minorBidi" w:hAnsiTheme="minorBidi" w:cstheme="minorBidi"/>
          <w:sz w:val="36"/>
          <w:szCs w:val="36"/>
          <w:rtl/>
        </w:rPr>
        <w:t>الاشتباه :</w:t>
      </w:r>
      <w:bookmarkEnd w:id="1"/>
      <w:proofErr w:type="gramEnd"/>
      <w:r w:rsidRPr="00E16118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14:paraId="6A7019ED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699F8DD5" w14:textId="77777777" w:rsidR="00E759BE" w:rsidRPr="00E16118" w:rsidRDefault="00E759BE" w:rsidP="00362191">
      <w:pPr>
        <w:pStyle w:val="a7"/>
        <w:numPr>
          <w:ilvl w:val="0"/>
          <w:numId w:val="11"/>
        </w:num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رصد الحالة وجمع كافة الأدلة المتوفرة </w:t>
      </w:r>
    </w:p>
    <w:p w14:paraId="2911246F" w14:textId="77777777" w:rsidR="00E759BE" w:rsidRPr="00E16118" w:rsidRDefault="00E759BE" w:rsidP="00362191">
      <w:pPr>
        <w:pStyle w:val="a7"/>
        <w:numPr>
          <w:ilvl w:val="0"/>
          <w:numId w:val="11"/>
        </w:num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تعبئة نموذج الاشتباه </w:t>
      </w:r>
      <w:proofErr w:type="gramStart"/>
      <w:r w:rsidRPr="00E16118">
        <w:rPr>
          <w:rFonts w:asciiTheme="minorBidi" w:eastAsia="Times New Roman" w:hAnsiTheme="minorBidi"/>
          <w:sz w:val="32"/>
          <w:szCs w:val="32"/>
          <w:rtl/>
        </w:rPr>
        <w:t>المرفق .</w:t>
      </w:r>
      <w:proofErr w:type="gramEnd"/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11AF7A10" w14:textId="77777777" w:rsidR="00E759BE" w:rsidRPr="00E16118" w:rsidRDefault="00E759BE" w:rsidP="00362191">
      <w:pPr>
        <w:pStyle w:val="a7"/>
        <w:numPr>
          <w:ilvl w:val="0"/>
          <w:numId w:val="11"/>
        </w:num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عدم إشعار العميل بأي تصرف أو </w:t>
      </w:r>
      <w:proofErr w:type="gramStart"/>
      <w:r w:rsidRPr="00E16118">
        <w:rPr>
          <w:rFonts w:asciiTheme="minorBidi" w:eastAsia="Times New Roman" w:hAnsiTheme="minorBidi"/>
          <w:sz w:val="32"/>
          <w:szCs w:val="32"/>
          <w:rtl/>
        </w:rPr>
        <w:t>تنبيهه .</w:t>
      </w:r>
      <w:proofErr w:type="gramEnd"/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13EA7315" w14:textId="77777777" w:rsidR="00E759BE" w:rsidRPr="00E16118" w:rsidRDefault="00E759BE" w:rsidP="00362191">
      <w:pPr>
        <w:pStyle w:val="a7"/>
        <w:numPr>
          <w:ilvl w:val="0"/>
          <w:numId w:val="11"/>
        </w:num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الرفع للإدارة بالنموذج وكافة المرفقات </w:t>
      </w:r>
    </w:p>
    <w:p w14:paraId="244DBA1B" w14:textId="77777777" w:rsidR="00E759BE" w:rsidRPr="00E16118" w:rsidRDefault="00E759BE" w:rsidP="00362191">
      <w:pPr>
        <w:pStyle w:val="a7"/>
        <w:numPr>
          <w:ilvl w:val="0"/>
          <w:numId w:val="11"/>
        </w:num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التواصل بسرية تامة مع الجهات </w:t>
      </w:r>
      <w:proofErr w:type="gramStart"/>
      <w:r w:rsidRPr="00E16118">
        <w:rPr>
          <w:rFonts w:asciiTheme="minorBidi" w:eastAsia="Times New Roman" w:hAnsiTheme="minorBidi"/>
          <w:sz w:val="32"/>
          <w:szCs w:val="32"/>
          <w:rtl/>
        </w:rPr>
        <w:t>المختصة .</w:t>
      </w:r>
      <w:proofErr w:type="gramEnd"/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54E9709A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1A91B923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63782A7C" w14:textId="77777777" w:rsidR="00E759BE" w:rsidRPr="00E16118" w:rsidRDefault="00E759BE" w:rsidP="00362191">
      <w:pPr>
        <w:bidi/>
        <w:rPr>
          <w:rFonts w:asciiTheme="minorBidi" w:eastAsia="Times New Roman" w:hAnsiTheme="minorBidi"/>
          <w:sz w:val="36"/>
          <w:szCs w:val="36"/>
          <w:bdr w:val="none" w:sz="0" w:space="0" w:color="auto" w:frame="1"/>
          <w:rtl/>
        </w:rPr>
      </w:pPr>
      <w:r w:rsidRPr="00E16118">
        <w:rPr>
          <w:rFonts w:asciiTheme="minorBidi" w:hAnsiTheme="minorBidi"/>
          <w:sz w:val="24"/>
          <w:szCs w:val="24"/>
          <w:rtl/>
        </w:rPr>
        <w:br w:type="page"/>
      </w:r>
    </w:p>
    <w:p w14:paraId="1402CEC9" w14:textId="77777777" w:rsidR="00E759BE" w:rsidRPr="00E16118" w:rsidRDefault="00E759BE" w:rsidP="00362191">
      <w:pPr>
        <w:pStyle w:val="1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bookmarkStart w:id="2" w:name="_Toc60231128"/>
      <w:r w:rsidRPr="00E16118">
        <w:rPr>
          <w:rFonts w:asciiTheme="minorBidi" w:hAnsiTheme="minorBidi" w:cstheme="minorBidi"/>
          <w:sz w:val="36"/>
          <w:szCs w:val="36"/>
          <w:rtl/>
        </w:rPr>
        <w:lastRenderedPageBreak/>
        <w:t>نموذج الاشتباه</w:t>
      </w:r>
      <w:bookmarkEnd w:id="2"/>
    </w:p>
    <w:p w14:paraId="4AC3B289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6508"/>
      </w:tblGrid>
      <w:tr w:rsidR="00E759BE" w:rsidRPr="00E16118" w14:paraId="3641B941" w14:textId="77777777" w:rsidTr="00A15C6C">
        <w:trPr>
          <w:trHeight w:val="726"/>
        </w:trPr>
        <w:tc>
          <w:tcPr>
            <w:tcW w:w="1909" w:type="dxa"/>
            <w:vAlign w:val="center"/>
          </w:tcPr>
          <w:p w14:paraId="50A5107A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7513" w:type="dxa"/>
          </w:tcPr>
          <w:p w14:paraId="677608EF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1CAD4159" w14:textId="77777777" w:rsidTr="00A15C6C">
        <w:trPr>
          <w:trHeight w:val="689"/>
        </w:trPr>
        <w:tc>
          <w:tcPr>
            <w:tcW w:w="1909" w:type="dxa"/>
            <w:vAlign w:val="center"/>
          </w:tcPr>
          <w:p w14:paraId="126CB2D4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اسم العميل</w:t>
            </w:r>
          </w:p>
        </w:tc>
        <w:tc>
          <w:tcPr>
            <w:tcW w:w="7513" w:type="dxa"/>
          </w:tcPr>
          <w:p w14:paraId="6F153C0A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72BB7448" w14:textId="77777777" w:rsidTr="00A15C6C">
        <w:trPr>
          <w:trHeight w:val="726"/>
        </w:trPr>
        <w:tc>
          <w:tcPr>
            <w:tcW w:w="1909" w:type="dxa"/>
            <w:vAlign w:val="center"/>
          </w:tcPr>
          <w:p w14:paraId="3DB0B498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7513" w:type="dxa"/>
          </w:tcPr>
          <w:p w14:paraId="3F0D0D13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2D987D6E" w14:textId="77777777" w:rsidTr="00A15C6C">
        <w:trPr>
          <w:trHeight w:val="726"/>
        </w:trPr>
        <w:tc>
          <w:tcPr>
            <w:tcW w:w="1909" w:type="dxa"/>
            <w:vAlign w:val="center"/>
          </w:tcPr>
          <w:p w14:paraId="1C68DAF4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رقم الهوية</w:t>
            </w:r>
          </w:p>
        </w:tc>
        <w:tc>
          <w:tcPr>
            <w:tcW w:w="7513" w:type="dxa"/>
          </w:tcPr>
          <w:p w14:paraId="7DA49296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352B5331" w14:textId="77777777" w:rsidTr="00A15C6C">
        <w:trPr>
          <w:trHeight w:val="689"/>
        </w:trPr>
        <w:tc>
          <w:tcPr>
            <w:tcW w:w="1909" w:type="dxa"/>
            <w:vAlign w:val="center"/>
          </w:tcPr>
          <w:p w14:paraId="4E109F08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7513" w:type="dxa"/>
          </w:tcPr>
          <w:p w14:paraId="6EB1C6FA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3038BE5A" w14:textId="77777777" w:rsidTr="00A15C6C">
        <w:trPr>
          <w:trHeight w:val="726"/>
        </w:trPr>
        <w:tc>
          <w:tcPr>
            <w:tcW w:w="1909" w:type="dxa"/>
            <w:vAlign w:val="center"/>
          </w:tcPr>
          <w:p w14:paraId="5A2347B4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المبلغ</w:t>
            </w:r>
          </w:p>
        </w:tc>
        <w:tc>
          <w:tcPr>
            <w:tcW w:w="7513" w:type="dxa"/>
          </w:tcPr>
          <w:p w14:paraId="1682BA7B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3E5E63FA" w14:textId="77777777" w:rsidTr="00A15C6C">
        <w:trPr>
          <w:trHeight w:val="689"/>
        </w:trPr>
        <w:tc>
          <w:tcPr>
            <w:tcW w:w="1909" w:type="dxa"/>
            <w:vAlign w:val="center"/>
          </w:tcPr>
          <w:p w14:paraId="0BEB48FB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مصدر الدخل</w:t>
            </w:r>
          </w:p>
        </w:tc>
        <w:tc>
          <w:tcPr>
            <w:tcW w:w="7513" w:type="dxa"/>
          </w:tcPr>
          <w:p w14:paraId="5C5B8732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759BE" w:rsidRPr="00E16118" w14:paraId="14D3B3B2" w14:textId="77777777" w:rsidTr="00A15C6C">
        <w:trPr>
          <w:trHeight w:val="726"/>
        </w:trPr>
        <w:tc>
          <w:tcPr>
            <w:tcW w:w="1909" w:type="dxa"/>
            <w:vAlign w:val="center"/>
          </w:tcPr>
          <w:p w14:paraId="462E4D5B" w14:textId="77777777" w:rsidR="00E759BE" w:rsidRPr="00967F41" w:rsidRDefault="00E759BE" w:rsidP="00362191">
            <w:pPr>
              <w:bidi/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سبب الاشتباه</w:t>
            </w:r>
          </w:p>
        </w:tc>
        <w:tc>
          <w:tcPr>
            <w:tcW w:w="7513" w:type="dxa"/>
          </w:tcPr>
          <w:p w14:paraId="795A663C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1C110542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54037963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24549E96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5D54AF3E" w14:textId="77777777" w:rsidR="00E759BE" w:rsidRPr="00E16118" w:rsidRDefault="00E759BE" w:rsidP="00362191">
            <w:pPr>
              <w:bidi/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</w:tbl>
    <w:p w14:paraId="18A162CC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0257E941" w14:textId="77777777" w:rsidR="00E759BE" w:rsidRPr="00E16118" w:rsidRDefault="00E759BE" w:rsidP="00362191">
      <w:pPr>
        <w:shd w:val="clear" w:color="auto" w:fill="FFFFFF"/>
        <w:bidi/>
        <w:spacing w:after="0" w:line="390" w:lineRule="atLeast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اسم الموظف </w:t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  <w:t>المدير التنفيذي</w:t>
      </w:r>
    </w:p>
    <w:p w14:paraId="019C1E7C" w14:textId="77777777" w:rsidR="00E759BE" w:rsidRPr="00E16118" w:rsidRDefault="00E759BE" w:rsidP="00362191">
      <w:pPr>
        <w:bidi/>
        <w:jc w:val="both"/>
        <w:rPr>
          <w:rFonts w:asciiTheme="minorBidi" w:hAnsiTheme="minorBidi"/>
          <w:sz w:val="24"/>
          <w:szCs w:val="24"/>
        </w:rPr>
      </w:pPr>
    </w:p>
    <w:p w14:paraId="1633BA73" w14:textId="77777777" w:rsidR="00F5583D" w:rsidRPr="009F364C" w:rsidRDefault="00F5583D" w:rsidP="00362191">
      <w:pPr>
        <w:bidi/>
      </w:pPr>
    </w:p>
    <w:sectPr w:rsidR="00F5583D" w:rsidRPr="009F364C" w:rsidSect="004F1A3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B8C9" w14:textId="77777777" w:rsidR="003C7462" w:rsidRDefault="003C7462" w:rsidP="00F5583D">
      <w:pPr>
        <w:spacing w:after="0" w:line="240" w:lineRule="auto"/>
      </w:pPr>
      <w:r>
        <w:separator/>
      </w:r>
    </w:p>
  </w:endnote>
  <w:endnote w:type="continuationSeparator" w:id="0">
    <w:p w14:paraId="25CE4C25" w14:textId="77777777" w:rsidR="003C7462" w:rsidRDefault="003C7462" w:rsidP="00F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2265" w14:textId="5C84C9B9" w:rsidR="00F5583D" w:rsidRDefault="00F5583D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8B087" wp14:editId="4796807A">
          <wp:simplePos x="0" y="0"/>
          <wp:positionH relativeFrom="column">
            <wp:posOffset>-1047750</wp:posOffset>
          </wp:positionH>
          <wp:positionV relativeFrom="paragraph">
            <wp:posOffset>-270510</wp:posOffset>
          </wp:positionV>
          <wp:extent cx="7305675" cy="730250"/>
          <wp:effectExtent l="0" t="0" r="952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A38A" w14:textId="77777777" w:rsidR="003C7462" w:rsidRDefault="003C7462" w:rsidP="00F5583D">
      <w:pPr>
        <w:spacing w:after="0" w:line="240" w:lineRule="auto"/>
      </w:pPr>
      <w:r>
        <w:separator/>
      </w:r>
    </w:p>
  </w:footnote>
  <w:footnote w:type="continuationSeparator" w:id="0">
    <w:p w14:paraId="218EABC1" w14:textId="77777777" w:rsidR="003C7462" w:rsidRDefault="003C7462" w:rsidP="00F5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8DFE" w14:textId="3CA285AF" w:rsidR="00F5583D" w:rsidRDefault="00F5583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9E96" wp14:editId="5468B097">
          <wp:simplePos x="0" y="0"/>
          <wp:positionH relativeFrom="column">
            <wp:posOffset>-1111250</wp:posOffset>
          </wp:positionH>
          <wp:positionV relativeFrom="paragraph">
            <wp:posOffset>-373380</wp:posOffset>
          </wp:positionV>
          <wp:extent cx="7493000" cy="774700"/>
          <wp:effectExtent l="0" t="0" r="0" b="635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8"/>
    <w:multiLevelType w:val="hybridMultilevel"/>
    <w:tmpl w:val="C96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6264"/>
    <w:multiLevelType w:val="hybridMultilevel"/>
    <w:tmpl w:val="4AA0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C3886"/>
    <w:multiLevelType w:val="multilevel"/>
    <w:tmpl w:val="560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862"/>
    <w:multiLevelType w:val="hybridMultilevel"/>
    <w:tmpl w:val="B1C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1CC3"/>
    <w:multiLevelType w:val="hybridMultilevel"/>
    <w:tmpl w:val="5330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3EE1"/>
    <w:multiLevelType w:val="hybridMultilevel"/>
    <w:tmpl w:val="F512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469F3"/>
    <w:multiLevelType w:val="hybridMultilevel"/>
    <w:tmpl w:val="B69E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7321"/>
    <w:multiLevelType w:val="hybridMultilevel"/>
    <w:tmpl w:val="FE0E2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F"/>
    <w:rsid w:val="000C3607"/>
    <w:rsid w:val="0013390C"/>
    <w:rsid w:val="00203C86"/>
    <w:rsid w:val="0031740B"/>
    <w:rsid w:val="00362191"/>
    <w:rsid w:val="003C7462"/>
    <w:rsid w:val="004F1A30"/>
    <w:rsid w:val="00561E29"/>
    <w:rsid w:val="006372BC"/>
    <w:rsid w:val="0087076F"/>
    <w:rsid w:val="00990E82"/>
    <w:rsid w:val="009F364C"/>
    <w:rsid w:val="00A40A6E"/>
    <w:rsid w:val="00A46A94"/>
    <w:rsid w:val="00AB6EFD"/>
    <w:rsid w:val="00BF5CB6"/>
    <w:rsid w:val="00CA63C0"/>
    <w:rsid w:val="00CD12A6"/>
    <w:rsid w:val="00E759BE"/>
    <w:rsid w:val="00F5583D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9A313"/>
  <w15:docId w15:val="{4A69B021-117B-4B57-BF75-C00EAC8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0C"/>
  </w:style>
  <w:style w:type="paragraph" w:styleId="1">
    <w:name w:val="heading 1"/>
    <w:basedOn w:val="a0"/>
    <w:next w:val="a"/>
    <w:link w:val="1Char"/>
    <w:uiPriority w:val="9"/>
    <w:qFormat/>
    <w:rsid w:val="0013390C"/>
    <w:pPr>
      <w:bidi/>
      <w:jc w:val="both"/>
      <w:outlineLvl w:val="0"/>
    </w:pPr>
    <w:rPr>
      <w:rFonts w:ascii="Arial" w:hAnsi="Arial" w:cs="Arial"/>
      <w:b/>
      <w:bCs/>
      <w:color w:val="008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87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8707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5"/>
    <w:uiPriority w:val="99"/>
    <w:rsid w:val="00F5583D"/>
  </w:style>
  <w:style w:type="paragraph" w:styleId="a6">
    <w:name w:val="footer"/>
    <w:basedOn w:val="a"/>
    <w:link w:val="Char1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6"/>
    <w:uiPriority w:val="99"/>
    <w:rsid w:val="00F5583D"/>
  </w:style>
  <w:style w:type="character" w:customStyle="1" w:styleId="1Char">
    <w:name w:val="العنوان 1 Char"/>
    <w:basedOn w:val="a1"/>
    <w:link w:val="1"/>
    <w:uiPriority w:val="9"/>
    <w:rsid w:val="0013390C"/>
    <w:rPr>
      <w:rFonts w:ascii="Arial" w:hAnsi="Arial" w:cs="Arial"/>
      <w:b/>
      <w:bCs/>
      <w:color w:val="008000"/>
      <w:sz w:val="32"/>
      <w:szCs w:val="32"/>
    </w:rPr>
  </w:style>
  <w:style w:type="paragraph" w:styleId="a7">
    <w:name w:val="List Paragraph"/>
    <w:basedOn w:val="a"/>
    <w:uiPriority w:val="34"/>
    <w:qFormat/>
    <w:rsid w:val="0013390C"/>
    <w:pPr>
      <w:ind w:left="720"/>
      <w:contextualSpacing/>
    </w:pPr>
  </w:style>
  <w:style w:type="paragraph" w:styleId="a0">
    <w:name w:val="No Spacing"/>
    <w:link w:val="Char2"/>
    <w:uiPriority w:val="1"/>
    <w:qFormat/>
    <w:rsid w:val="0013390C"/>
    <w:pPr>
      <w:spacing w:after="0" w:line="240" w:lineRule="auto"/>
    </w:pPr>
  </w:style>
  <w:style w:type="character" w:customStyle="1" w:styleId="Char2">
    <w:name w:val="بلا تباعد Char"/>
    <w:basedOn w:val="a1"/>
    <w:link w:val="a0"/>
    <w:uiPriority w:val="1"/>
    <w:rsid w:val="0013390C"/>
  </w:style>
  <w:style w:type="paragraph" w:styleId="a8">
    <w:name w:val="TOC Heading"/>
    <w:basedOn w:val="1"/>
    <w:next w:val="a"/>
    <w:uiPriority w:val="39"/>
    <w:unhideWhenUsed/>
    <w:qFormat/>
    <w:rsid w:val="0013390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13390C"/>
    <w:pPr>
      <w:spacing w:after="100"/>
    </w:pPr>
  </w:style>
  <w:style w:type="character" w:styleId="Hyperlink">
    <w:name w:val="Hyperlink"/>
    <w:basedOn w:val="a1"/>
    <w:uiPriority w:val="99"/>
    <w:unhideWhenUsed/>
    <w:rsid w:val="0013390C"/>
    <w:rPr>
      <w:color w:val="0000FF" w:themeColor="hyperlink"/>
      <w:u w:val="single"/>
    </w:rPr>
  </w:style>
  <w:style w:type="table" w:styleId="a9">
    <w:name w:val="Table Grid"/>
    <w:basedOn w:val="a2"/>
    <w:uiPriority w:val="39"/>
    <w:rsid w:val="00E7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F29C-47DC-49F4-956B-95FEEE1B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جمعية البر بميسان ميسان</cp:lastModifiedBy>
  <cp:revision>3</cp:revision>
  <cp:lastPrinted>2024-12-11T08:35:00Z</cp:lastPrinted>
  <dcterms:created xsi:type="dcterms:W3CDTF">2024-12-11T13:04:00Z</dcterms:created>
  <dcterms:modified xsi:type="dcterms:W3CDTF">2024-12-11T13:04:00Z</dcterms:modified>
</cp:coreProperties>
</file>